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color w:val="000000"/>
          <w:szCs w:val="19"/>
        </w:rPr>
        <w:t>Anticipation Guide</w:t>
      </w:r>
    </w:p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i/>
          <w:color w:val="000000"/>
          <w:szCs w:val="19"/>
        </w:rPr>
        <w:t>The Giver</w:t>
      </w:r>
      <w:r w:rsidRPr="00A67335">
        <w:rPr>
          <w:rFonts w:ascii="Calibri" w:hAnsi="Calibri" w:cs="Times New Roman"/>
          <w:color w:val="000000"/>
          <w:szCs w:val="19"/>
        </w:rPr>
        <w:t>, by Lois Lowry</w:t>
      </w:r>
    </w:p>
    <w:p w:rsidR="00A67335" w:rsidRDefault="00A67335" w:rsidP="00A67335">
      <w:pPr>
        <w:rPr>
          <w:rFonts w:ascii="Calibri" w:hAnsi="Calibri" w:cs="Times New Roman"/>
          <w:color w:val="000000"/>
          <w:sz w:val="19"/>
          <w:szCs w:val="19"/>
        </w:rPr>
      </w:pPr>
    </w:p>
    <w:p w:rsidR="00A67335" w:rsidRPr="00A67335" w:rsidRDefault="00A67335" w:rsidP="00A67335">
      <w:pPr>
        <w:rPr>
          <w:rFonts w:ascii="Times" w:hAnsi="Times" w:cs="Times New Roman"/>
          <w:sz w:val="20"/>
          <w:szCs w:val="20"/>
        </w:rPr>
      </w:pPr>
      <w:r w:rsidRPr="00A67335">
        <w:rPr>
          <w:rFonts w:ascii="Calibri" w:hAnsi="Calibri" w:cs="Times New Roman"/>
          <w:color w:val="000000"/>
          <w:sz w:val="19"/>
          <w:szCs w:val="19"/>
        </w:rPr>
        <w:t>BEFORE READING                                                                                                                          AFTER 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9"/>
        <w:gridCol w:w="895"/>
        <w:gridCol w:w="3820"/>
        <w:gridCol w:w="1823"/>
        <w:gridCol w:w="752"/>
        <w:gridCol w:w="895"/>
      </w:tblGrid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Statement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Pages where evidence is found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Agree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  <w:shd w:val="clear" w:color="auto" w:fill="FFFFFF"/>
              </w:rPr>
              <w:t>It is possible to live in a society that has eliminated all pain, fear, war, and hatred.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Being the same is safer than being different.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000000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Traditions should always be followed to ensure that what is important to the community continues.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A67335" w:rsidRPr="00A67335" w:rsidRDefault="00A67335" w:rsidP="00A67335">
      <w:pPr>
        <w:rPr>
          <w:rFonts w:ascii="Times" w:hAnsi="Times"/>
          <w:sz w:val="20"/>
          <w:szCs w:val="20"/>
        </w:rPr>
      </w:pPr>
    </w:p>
    <w:p w:rsidR="00A67335" w:rsidRDefault="00A67335"/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color w:val="000000"/>
          <w:szCs w:val="19"/>
        </w:rPr>
        <w:t>Anticipation Guide</w:t>
      </w:r>
    </w:p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i/>
          <w:color w:val="000000"/>
          <w:szCs w:val="19"/>
        </w:rPr>
        <w:t>The Giver</w:t>
      </w:r>
      <w:r w:rsidRPr="00A67335">
        <w:rPr>
          <w:rFonts w:ascii="Calibri" w:hAnsi="Calibri" w:cs="Times New Roman"/>
          <w:color w:val="000000"/>
          <w:szCs w:val="19"/>
        </w:rPr>
        <w:t>, by Lois Lowry</w:t>
      </w:r>
    </w:p>
    <w:p w:rsidR="00A67335" w:rsidRDefault="00A67335" w:rsidP="00A67335">
      <w:pPr>
        <w:rPr>
          <w:rFonts w:ascii="Calibri" w:hAnsi="Calibri" w:cs="Times New Roman"/>
          <w:color w:val="000000"/>
          <w:sz w:val="19"/>
          <w:szCs w:val="19"/>
        </w:rPr>
      </w:pPr>
    </w:p>
    <w:p w:rsidR="00A67335" w:rsidRPr="00A67335" w:rsidRDefault="00A67335" w:rsidP="00A67335">
      <w:pPr>
        <w:rPr>
          <w:rFonts w:ascii="Times" w:hAnsi="Times" w:cs="Times New Roman"/>
          <w:sz w:val="20"/>
          <w:szCs w:val="20"/>
        </w:rPr>
      </w:pPr>
      <w:r w:rsidRPr="00A67335">
        <w:rPr>
          <w:rFonts w:ascii="Calibri" w:hAnsi="Calibri" w:cs="Times New Roman"/>
          <w:color w:val="000000"/>
          <w:sz w:val="19"/>
          <w:szCs w:val="19"/>
        </w:rPr>
        <w:t>BEFORE READING                                                                                                                          AFTER 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9"/>
        <w:gridCol w:w="895"/>
        <w:gridCol w:w="3820"/>
        <w:gridCol w:w="1823"/>
        <w:gridCol w:w="752"/>
        <w:gridCol w:w="895"/>
      </w:tblGrid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Statement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Pages where evidence is found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Agree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  <w:shd w:val="clear" w:color="auto" w:fill="FFFFFF"/>
              </w:rPr>
              <w:t>It is possible to live in a society that has eliminated all pain, fear, war, and hatred.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Being the same is safer than being different.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Traditions should always be followed to ensure that what is important to the community continues.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A67335" w:rsidRDefault="00A67335"/>
    <w:p w:rsid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</w:p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color w:val="000000"/>
          <w:szCs w:val="19"/>
        </w:rPr>
        <w:t>Anticipation Guide</w:t>
      </w:r>
    </w:p>
    <w:p w:rsidR="00A67335" w:rsidRPr="00A67335" w:rsidRDefault="00A67335" w:rsidP="00A67335">
      <w:pPr>
        <w:jc w:val="center"/>
        <w:rPr>
          <w:rFonts w:ascii="Calibri" w:hAnsi="Calibri" w:cs="Times New Roman"/>
          <w:color w:val="000000"/>
          <w:szCs w:val="19"/>
        </w:rPr>
      </w:pPr>
      <w:r w:rsidRPr="00A67335">
        <w:rPr>
          <w:rFonts w:ascii="Calibri" w:hAnsi="Calibri" w:cs="Times New Roman"/>
          <w:i/>
          <w:color w:val="000000"/>
          <w:szCs w:val="19"/>
        </w:rPr>
        <w:t>The Giver</w:t>
      </w:r>
      <w:r w:rsidRPr="00A67335">
        <w:rPr>
          <w:rFonts w:ascii="Calibri" w:hAnsi="Calibri" w:cs="Times New Roman"/>
          <w:color w:val="000000"/>
          <w:szCs w:val="19"/>
        </w:rPr>
        <w:t>, by Lois Lowry</w:t>
      </w:r>
    </w:p>
    <w:p w:rsidR="00A67335" w:rsidRDefault="00A67335" w:rsidP="00A67335">
      <w:pPr>
        <w:rPr>
          <w:rFonts w:ascii="Calibri" w:hAnsi="Calibri" w:cs="Times New Roman"/>
          <w:color w:val="000000"/>
          <w:sz w:val="19"/>
          <w:szCs w:val="19"/>
        </w:rPr>
      </w:pPr>
    </w:p>
    <w:p w:rsidR="00A67335" w:rsidRPr="00A67335" w:rsidRDefault="00A67335" w:rsidP="00A67335">
      <w:pPr>
        <w:rPr>
          <w:rFonts w:ascii="Times" w:hAnsi="Times" w:cs="Times New Roman"/>
          <w:sz w:val="20"/>
          <w:szCs w:val="20"/>
        </w:rPr>
      </w:pPr>
      <w:r w:rsidRPr="00A67335">
        <w:rPr>
          <w:rFonts w:ascii="Calibri" w:hAnsi="Calibri" w:cs="Times New Roman"/>
          <w:color w:val="000000"/>
          <w:sz w:val="19"/>
          <w:szCs w:val="19"/>
        </w:rPr>
        <w:t>BEFORE READING                                                                                                                          AFTER 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9"/>
        <w:gridCol w:w="895"/>
        <w:gridCol w:w="3820"/>
        <w:gridCol w:w="1823"/>
        <w:gridCol w:w="752"/>
        <w:gridCol w:w="895"/>
      </w:tblGrid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Agree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Statement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Pages where evidence is found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 xml:space="preserve">Agree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Disagree</w:t>
            </w: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  <w:shd w:val="clear" w:color="auto" w:fill="FFFFFF"/>
              </w:rPr>
              <w:t>It is possible to live in a society that has eliminated all pain, fear, war, and hatred.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Being the same is safer than being different.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  <w:tr w:rsidR="00A67335" w:rsidRPr="00A67335" w:rsidTr="00A6733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6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7335">
              <w:rPr>
                <w:rFonts w:ascii="Calibri" w:hAnsi="Calibri" w:cs="Times New Roman"/>
                <w:color w:val="000000"/>
                <w:sz w:val="19"/>
                <w:szCs w:val="19"/>
              </w:rPr>
              <w:t>Traditions should always be followed to ensure that what is important to the community continues.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2" w:type="dxa"/>
              <w:left w:w="112" w:type="dxa"/>
              <w:bottom w:w="112" w:type="dxa"/>
              <w:right w:w="112" w:type="dxa"/>
            </w:tcMar>
          </w:tcPr>
          <w:p w:rsidR="00A67335" w:rsidRPr="00A67335" w:rsidRDefault="00A67335" w:rsidP="00A67335">
            <w:pPr>
              <w:rPr>
                <w:rFonts w:ascii="Times" w:hAnsi="Times"/>
                <w:sz w:val="1"/>
                <w:szCs w:val="20"/>
              </w:rPr>
            </w:pPr>
          </w:p>
        </w:tc>
      </w:tr>
    </w:tbl>
    <w:p w:rsidR="009B0CA6" w:rsidRDefault="00A67335"/>
    <w:sectPr w:rsidR="009B0CA6" w:rsidSect="00A67335">
      <w:pgSz w:w="12240" w:h="15840"/>
      <w:pgMar w:top="1440" w:right="1800" w:bottom="108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7335"/>
    <w:rsid w:val="00A67335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6733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1</cp:revision>
  <dcterms:created xsi:type="dcterms:W3CDTF">2014-08-06T15:40:00Z</dcterms:created>
  <dcterms:modified xsi:type="dcterms:W3CDTF">2014-08-06T15:42:00Z</dcterms:modified>
</cp:coreProperties>
</file>